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40"/>
        </w:rPr>
      </w:pPr>
    </w:p>
    <w:p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</w:rPr>
        <w:t>山东省电子税务局印花税</w:t>
      </w:r>
      <w:r>
        <w:rPr>
          <w:rFonts w:hint="eastAsia" w:ascii="黑体" w:hAnsi="黑体" w:eastAsia="黑体"/>
          <w:sz w:val="40"/>
          <w:szCs w:val="40"/>
          <w:lang w:eastAsia="zh-CN"/>
        </w:rPr>
        <w:t>税源采集模板导入</w:t>
      </w:r>
      <w:r>
        <w:rPr>
          <w:rFonts w:hint="eastAsia" w:ascii="黑体" w:hAnsi="黑体" w:eastAsia="黑体"/>
          <w:sz w:val="40"/>
          <w:szCs w:val="40"/>
        </w:rPr>
        <w:t>操作</w:t>
      </w:r>
      <w:r>
        <w:rPr>
          <w:rFonts w:hint="eastAsia" w:ascii="黑体" w:hAnsi="黑体" w:eastAsia="黑体"/>
          <w:sz w:val="40"/>
          <w:szCs w:val="40"/>
          <w:lang w:eastAsia="zh-CN"/>
        </w:rPr>
        <w:t>指南</w:t>
      </w:r>
    </w:p>
    <w:p>
      <w:pPr>
        <w:pStyle w:val="2"/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根据《国家税务总局山东省税务局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国家税务总局青岛市税务局关于明确印花税纳税期限的公告》（国家税务总局山东省税务局国家税务总局青岛市税务局公告2022年第5号）的规定，境内单位或个体工商户自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2022年7月1日起签订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的印花税应税合同，应按季申报缴纳印花税。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为方便纳税人在10月征期内申报缴纳税款属期为2022年7-9月的印花税,山东省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电子税务局在税源采集模块增加了模板导入功能，具体操作如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下：</w:t>
      </w:r>
    </w:p>
    <w:p>
      <w:pPr>
        <w:pStyle w:val="2"/>
        <w:pageBreakBefore w:val="0"/>
        <w:kinsoku/>
        <w:wordWrap/>
        <w:topLinePunct w:val="0"/>
        <w:bidi w:val="0"/>
        <w:spacing w:line="360" w:lineRule="auto"/>
        <w:ind w:left="0" w:leftChars="0" w:firstLine="523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登录山东省电子税务局，点击“我要办税—税费申报及缴纳—综合申报—财产和行为税合并纳税申报”功能，选择印花税，点击税源采集，进入税源采集界面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，系统增加了模板导入功能。</w:t>
      </w:r>
    </w:p>
    <w:p>
      <w:pPr>
        <w:pageBreakBefore w:val="0"/>
        <w:kinsoku/>
        <w:wordWrap/>
        <w:topLinePunct w:val="0"/>
        <w:bidi w:val="0"/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9002395</wp:posOffset>
                </wp:positionH>
                <wp:positionV relativeFrom="paragraph">
                  <wp:posOffset>278130</wp:posOffset>
                </wp:positionV>
                <wp:extent cx="1349375" cy="425450"/>
                <wp:effectExtent l="12700" t="1270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74913" y="2204237"/>
                          <a:ext cx="1349548" cy="42545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8.85pt;margin-top:21.9pt;height:33.5pt;width:106.25pt;z-index:251660288;v-text-anchor:middle;mso-width-relative:page;mso-height-relative:page;" filled="f" stroked="t" coordsize="21600,21600" o:gfxdata="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nYSI2AAAAAwBAAAPAAAAAAAAAAEAIAAAACIAAABkcnMvZG93bnJldi54bWxQSwEC&#10;FAAUAAAACACHTuJALFczHvQBAADJAwAADgAAAAAAAAABACAAAAAnAQAAZHJzL2Uyb0RvYy54bWxQ&#10;SwUGAAAAAAYABgBZAQAAjQUAAAAA&#10;">
                <v:fill on="f" focussize="0,0"/>
                <v:stroke weight="2pt" color="#FF3300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9002395</wp:posOffset>
                </wp:positionH>
                <wp:positionV relativeFrom="paragraph">
                  <wp:posOffset>278130</wp:posOffset>
                </wp:positionV>
                <wp:extent cx="1349375" cy="425450"/>
                <wp:effectExtent l="12700" t="1270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74913" y="2204237"/>
                          <a:ext cx="1349548" cy="42545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8.85pt;margin-top:21.9pt;height:33.5pt;width:106.25pt;z-index:251659264;v-text-anchor:middle;mso-width-relative:page;mso-height-relative:page;" filled="f" stroked="t" coordsize="21600,21600" o:gfxdata="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ydhIjYAAAADAEAAA8AAAAAAAAAAQAgAAAAIgAAAGRycy9kb3ducmV2LnhtbFBLAQIU&#10;ABQAAAAIAIdO4kB/G7VX8wEAAMkDAAAOAAAAAAAAAAEAIAAAACcBAABkcnMvZTJvRG9jLnhtbFBL&#10;BQYAAAAABgAGAFkBAACMBQAAAAA=&#10;">
                <v:fill on="f" focussize="0,0"/>
                <v:stroke weight="2pt" color="#FF3300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6055" cy="1881505"/>
            <wp:effectExtent l="12700" t="12700" r="17145" b="298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815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注意事项：</w:t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模板中设置“采集表、代码表、实际结算信息、对方书立人信息”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4个工作表，</w:t>
      </w:r>
      <w:r>
        <w:rPr>
          <w:rFonts w:hint="eastAsia" w:ascii="仿宋_GB2312" w:hAnsi="微软雅黑" w:eastAsia="仿宋_GB2312"/>
          <w:b/>
          <w:bCs/>
          <w:sz w:val="32"/>
          <w:szCs w:val="32"/>
          <w:lang w:val="en-US" w:eastAsia="zh-CN"/>
        </w:rPr>
        <w:t>均不得删除，否则将导入失败。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309495"/>
            <wp:effectExtent l="12700" t="12700" r="13335" b="209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09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模板中设置的表头中的项目</w:t>
      </w:r>
      <w:bookmarkStart w:id="0" w:name="_GoBack"/>
      <w:r>
        <w:rPr>
          <w:rFonts w:hint="eastAsia" w:ascii="仿宋_GB2312" w:hAnsi="微软雅黑" w:eastAsia="仿宋_GB2312"/>
          <w:b/>
          <w:bCs/>
          <w:sz w:val="32"/>
          <w:szCs w:val="32"/>
          <w:lang w:eastAsia="zh-CN"/>
        </w:rPr>
        <w:t>不可删除</w:t>
      </w:r>
      <w:r>
        <w:rPr>
          <w:rFonts w:hint="eastAsia" w:ascii="仿宋_GB2312" w:hAnsi="微软雅黑" w:eastAsia="仿宋_GB2312"/>
          <w:b/>
          <w:bCs/>
          <w:sz w:val="32"/>
          <w:szCs w:val="32"/>
          <w:lang w:val="en-US" w:eastAsia="zh-CN"/>
        </w:rPr>
        <w:t>，否则将导入失败。</w:t>
      </w:r>
    </w:p>
    <w:bookmarkEnd w:id="0"/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“采集表”中“申报期限类型、税目、子目”为下拉列表，请点击单元格右侧的三角符号在列表中选择所需项目，手工输入时请按印花税法中规定的税目名称填写。如填写内容不符合要求时，系统弹出提示信息，如下图所示：</w:t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2209800" cy="542925"/>
            <wp:effectExtent l="12700" t="12700" r="25400" b="1587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42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“采集表”中“申报类型”项已设置默认值为“正常申报”，请勿删除或修改。</w:t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税款所属期起、税款所属期止、应税凭证书立日期项请按年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/月/日格式填写，如2022/09/29。</w:t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“实际结算信息”工作表中，“采集表对应行号”项请注意是从采集表第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8行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开始，填写“采集表对应行号”左侧标识的数字即可。</w:t>
      </w:r>
    </w:p>
    <w:p>
      <w:r>
        <w:drawing>
          <wp:inline distT="0" distB="0" distL="114300" distR="114300">
            <wp:extent cx="5272405" cy="570230"/>
            <wp:effectExtent l="12700" t="12700" r="29845" b="2667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02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“对方书立人信息”工作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表中，“采集表对应行号”项请注意是从采集表第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8行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开始，填写“采集表对应行号”左侧标识的数字即可。</w:t>
      </w:r>
    </w:p>
    <w:p>
      <w:r>
        <w:drawing>
          <wp:inline distT="0" distB="0" distL="114300" distR="114300">
            <wp:extent cx="5271770" cy="304165"/>
            <wp:effectExtent l="12700" t="12700" r="30480" b="2603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41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left="0" w:leftChars="0" w:firstLine="598" w:firstLineChars="187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“实际结算信息”、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“对方书立人信息”工作表中“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采集表对应行号”可填写内容为数字，如填写信息不符合要求，系统弹出提示信息，如下图所示：</w:t>
      </w:r>
    </w:p>
    <w:p>
      <w:pPr>
        <w:jc w:val="center"/>
        <w:rPr>
          <w:lang w:val="en-US"/>
        </w:rPr>
      </w:pPr>
      <w:r>
        <w:drawing>
          <wp:inline distT="0" distB="0" distL="114300" distR="114300">
            <wp:extent cx="2209800" cy="542925"/>
            <wp:effectExtent l="12700" t="12700" r="25400" b="1587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42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numPr>
          <w:numId w:val="0"/>
        </w:numPr>
        <w:kinsoku/>
        <w:wordWrap/>
        <w:topLinePunct w:val="0"/>
        <w:bidi w:val="0"/>
        <w:spacing w:line="360" w:lineRule="auto"/>
        <w:ind w:leftChars="18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D5D0B"/>
    <w:multiLevelType w:val="singleLevel"/>
    <w:tmpl w:val="415D5D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3203D"/>
    <w:rsid w:val="02C3203D"/>
    <w:rsid w:val="1E0411C4"/>
    <w:rsid w:val="541A76E3"/>
    <w:rsid w:val="6944250A"/>
    <w:rsid w:val="74D1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  <w:rPr>
      <w:rFonts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2022-09-29T09:15:00Z</dcterms:created>
  <dc:creator>王毅</dc:creator>
  <cp:lastModifiedBy>王毅</cp:lastModifiedBy>
  <dcterms:modified xsi:type="dcterms:W3CDTF">2022-09-29T09:24:33Z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